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ED87" w14:textId="6188EBBF" w:rsidR="00A23DE6" w:rsidRDefault="00A23DE6" w:rsidP="00A23DE6">
      <w:pPr>
        <w:snapToGrid w:val="0"/>
        <w:spacing w:line="520" w:lineRule="exact"/>
        <w:jc w:val="left"/>
        <w:rPr>
          <w:rFonts w:ascii="黑体" w:eastAsia="黑体" w:hAnsi="黑体" w:cs="Times New Roman" w:hint="eastAsia"/>
          <w:spacing w:val="-8"/>
          <w:sz w:val="32"/>
          <w:szCs w:val="32"/>
        </w:rPr>
      </w:pPr>
      <w:r w:rsidRPr="00561663">
        <w:rPr>
          <w:rFonts w:ascii="黑体" w:eastAsia="黑体" w:hAnsi="黑体" w:cs="Times New Roman" w:hint="eastAsia"/>
          <w:spacing w:val="-8"/>
          <w:sz w:val="32"/>
          <w:szCs w:val="32"/>
        </w:rPr>
        <w:t>附件</w:t>
      </w:r>
      <w:r w:rsidR="00B23096">
        <w:rPr>
          <w:rFonts w:ascii="黑体" w:eastAsia="黑体" w:hAnsi="黑体" w:cs="Times New Roman" w:hint="eastAsia"/>
          <w:spacing w:val="-8"/>
          <w:sz w:val="32"/>
          <w:szCs w:val="32"/>
        </w:rPr>
        <w:t>3</w:t>
      </w:r>
    </w:p>
    <w:p w14:paraId="4FD00FAF" w14:textId="77777777" w:rsidR="00A23DE6" w:rsidRPr="00561663" w:rsidRDefault="00A23DE6" w:rsidP="00A23DE6">
      <w:pPr>
        <w:snapToGrid w:val="0"/>
        <w:spacing w:line="520" w:lineRule="exact"/>
        <w:jc w:val="left"/>
        <w:rPr>
          <w:rFonts w:ascii="黑体" w:eastAsia="黑体" w:hAnsi="黑体" w:cs="Times New Roman" w:hint="eastAsia"/>
          <w:spacing w:val="-8"/>
          <w:sz w:val="32"/>
          <w:szCs w:val="32"/>
        </w:rPr>
      </w:pPr>
    </w:p>
    <w:p w14:paraId="3EEDBB62" w14:textId="26CB9417" w:rsidR="00A23DE6" w:rsidRDefault="00792A69" w:rsidP="00A23DE6">
      <w:pPr>
        <w:adjustRightInd w:val="0"/>
        <w:snapToGrid w:val="0"/>
        <w:spacing w:line="52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792A69">
        <w:rPr>
          <w:rFonts w:ascii="Times New Roman" w:eastAsia="方正小标宋简体" w:hAnsi="Times New Roman" w:cs="Times New Roman"/>
          <w:spacing w:val="-8"/>
          <w:sz w:val="44"/>
          <w:szCs w:val="44"/>
        </w:rPr>
        <w:t>算法变更影响分析、版本台账和预设变更控制计划模板</w:t>
      </w:r>
      <w:r w:rsidR="00A23DE6" w:rsidRPr="00A23DE6">
        <w:rPr>
          <w:rFonts w:ascii="Times New Roman" w:eastAsia="方正小标宋简体" w:hAnsi="Times New Roman" w:cs="Times New Roman" w:hint="eastAsia"/>
          <w:spacing w:val="-8"/>
          <w:sz w:val="44"/>
          <w:szCs w:val="44"/>
        </w:rPr>
        <w:t>（</w:t>
      </w:r>
      <w:r w:rsidR="00796939" w:rsidRPr="00796939">
        <w:rPr>
          <w:rFonts w:ascii="Times New Roman" w:eastAsia="方正小标宋简体" w:hAnsi="Times New Roman" w:cs="Times New Roman"/>
          <w:spacing w:val="-8"/>
          <w:sz w:val="44"/>
          <w:szCs w:val="44"/>
        </w:rPr>
        <w:t>征求意见稿</w:t>
      </w:r>
      <w:r w:rsidR="00A23DE6" w:rsidRPr="00A23DE6">
        <w:rPr>
          <w:rFonts w:ascii="Times New Roman" w:eastAsia="方正小标宋简体" w:hAnsi="Times New Roman" w:cs="Times New Roman" w:hint="eastAsia"/>
          <w:spacing w:val="-8"/>
          <w:sz w:val="44"/>
          <w:szCs w:val="44"/>
        </w:rPr>
        <w:t>）</w:t>
      </w:r>
    </w:p>
    <w:p w14:paraId="5366C71D" w14:textId="77777777" w:rsidR="00A23DE6" w:rsidRDefault="00A23DE6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7BA20EF3" w14:textId="5EF8563E" w:rsidR="00792A69" w:rsidRDefault="00792A69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92A69">
        <w:rPr>
          <w:rFonts w:ascii="仿宋_GB2312" w:eastAsia="仿宋_GB2312"/>
          <w:sz w:val="32"/>
          <w:szCs w:val="32"/>
        </w:rPr>
        <w:t>配套工具建议稿；供注册人、医疗机构和试点评价使用，不作为现行强制性要求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50E2B9D5" w14:textId="77777777" w:rsidR="00792A69" w:rsidRDefault="00792A69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2AC4058B" w14:textId="571C999D" w:rsidR="00A23DE6" w:rsidRDefault="00A23DE6" w:rsidP="00A23DE6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一、</w:t>
      </w:r>
      <w:r w:rsidR="00792A6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目的</w:t>
      </w:r>
    </w:p>
    <w:p w14:paraId="25AF901F" w14:textId="77777777" w:rsidR="00792A69" w:rsidRPr="00792A69" w:rsidRDefault="00792A69" w:rsidP="00792A69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792A69">
        <w:rPr>
          <w:rFonts w:ascii="Times New Roman" w:eastAsia="仿宋_GB2312" w:hAnsi="Times New Roman" w:cs="Times New Roman"/>
          <w:color w:val="000000"/>
          <w:sz w:val="32"/>
          <w:szCs w:val="32"/>
        </w:rPr>
        <w:t>本附件用于配合两份专项指导原则建议稿，支持对基础模型、训练或微调数据、模型参数、知识库、提示词、外部工具、接口、部署环境和网络安全组件变化进行留痕、影响分析、验证和风险控制。其目的不是将所有变化自动豁免或一律重新注册，而是形成与变化影响相匹配的可追溯记录。</w:t>
      </w:r>
    </w:p>
    <w:p w14:paraId="74B6A69C" w14:textId="69261423" w:rsidR="00A23DE6" w:rsidRDefault="00A23DE6" w:rsidP="00A23DE6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二、</w:t>
      </w:r>
      <w:r w:rsidR="00792A69" w:rsidRPr="00792A69">
        <w:rPr>
          <w:rFonts w:ascii="Times New Roman" w:eastAsia="黑体" w:hAnsi="Times New Roman" w:cs="Times New Roman"/>
          <w:color w:val="000000"/>
          <w:sz w:val="32"/>
          <w:szCs w:val="32"/>
        </w:rPr>
        <w:t>版本台账最小字段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882"/>
      </w:tblGrid>
      <w:tr w:rsidR="005F6F96" w:rsidRPr="005F6F96" w14:paraId="3AFD0C55" w14:textId="77777777" w:rsidTr="005F6F96">
        <w:trPr>
          <w:jc w:val="center"/>
        </w:trPr>
        <w:tc>
          <w:tcPr>
            <w:tcW w:w="1838" w:type="dxa"/>
          </w:tcPr>
          <w:p w14:paraId="6705B3A6" w14:textId="65080669" w:rsidR="005F6F96" w:rsidRPr="005F6F96" w:rsidRDefault="005F6F96" w:rsidP="005F6F9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类别</w:t>
            </w:r>
          </w:p>
        </w:tc>
        <w:tc>
          <w:tcPr>
            <w:tcW w:w="6882" w:type="dxa"/>
          </w:tcPr>
          <w:p w14:paraId="60C9DBAB" w14:textId="7FEAC973" w:rsidR="005F6F96" w:rsidRPr="005F6F96" w:rsidRDefault="005F6F96" w:rsidP="005F6F9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建议记录字段</w:t>
            </w:r>
          </w:p>
        </w:tc>
      </w:tr>
      <w:tr w:rsidR="005F6F96" w:rsidRPr="005F6F96" w14:paraId="2B4AB188" w14:textId="77777777" w:rsidTr="005F6F96">
        <w:trPr>
          <w:jc w:val="center"/>
        </w:trPr>
        <w:tc>
          <w:tcPr>
            <w:tcW w:w="1838" w:type="dxa"/>
          </w:tcPr>
          <w:p w14:paraId="18CEF139" w14:textId="6D3F42C7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产品标识</w:t>
            </w:r>
          </w:p>
        </w:tc>
        <w:tc>
          <w:tcPr>
            <w:tcW w:w="6882" w:type="dxa"/>
          </w:tcPr>
          <w:p w14:paraId="5608D11A" w14:textId="2EF1ABD4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产品名称、型号规格、预期用途、发布范围、责任人、发布日期。</w:t>
            </w:r>
          </w:p>
        </w:tc>
      </w:tr>
      <w:tr w:rsidR="005F6F96" w:rsidRPr="005F6F96" w14:paraId="58448F4B" w14:textId="77777777" w:rsidTr="005F6F96">
        <w:trPr>
          <w:jc w:val="center"/>
        </w:trPr>
        <w:tc>
          <w:tcPr>
            <w:tcW w:w="1838" w:type="dxa"/>
          </w:tcPr>
          <w:p w14:paraId="6B897523" w14:textId="0859AE46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模型与数据</w:t>
            </w:r>
          </w:p>
        </w:tc>
        <w:tc>
          <w:tcPr>
            <w:tcW w:w="6882" w:type="dxa"/>
          </w:tcPr>
          <w:p w14:paraId="135FAB8A" w14:textId="737F6721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基础模型或专用模型名称及版本、训练/微调数据版本、模型参数、适配方法。</w:t>
            </w:r>
          </w:p>
        </w:tc>
      </w:tr>
      <w:tr w:rsidR="005F6F96" w:rsidRPr="005F6F96" w14:paraId="6AFF0663" w14:textId="77777777" w:rsidTr="005F6F96">
        <w:trPr>
          <w:jc w:val="center"/>
        </w:trPr>
        <w:tc>
          <w:tcPr>
            <w:tcW w:w="1838" w:type="dxa"/>
          </w:tcPr>
          <w:p w14:paraId="593A18FF" w14:textId="79A44390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知识与交互组件</w:t>
            </w:r>
          </w:p>
        </w:tc>
        <w:tc>
          <w:tcPr>
            <w:tcW w:w="6882" w:type="dxa"/>
          </w:tcPr>
          <w:p w14:paraId="24DDC5EE" w14:textId="2DC0DEC7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知识库来源与更新时间、检索增强配置、提示词模板、系统指令、外部工具与接口版本。</w:t>
            </w:r>
          </w:p>
        </w:tc>
      </w:tr>
      <w:tr w:rsidR="005F6F96" w:rsidRPr="005F6F96" w14:paraId="4FF455A0" w14:textId="77777777" w:rsidTr="005F6F96">
        <w:trPr>
          <w:jc w:val="center"/>
        </w:trPr>
        <w:tc>
          <w:tcPr>
            <w:tcW w:w="1838" w:type="dxa"/>
          </w:tcPr>
          <w:p w14:paraId="54A4F661" w14:textId="5B2F4EAF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部署与安全</w:t>
            </w:r>
          </w:p>
        </w:tc>
        <w:tc>
          <w:tcPr>
            <w:tcW w:w="6882" w:type="dxa"/>
          </w:tcPr>
          <w:p w14:paraId="578CCF2A" w14:textId="40EA79F9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软硬件环境、云服务、网络安全组件、权限配置、数据接口和关键依赖。</w:t>
            </w:r>
          </w:p>
        </w:tc>
      </w:tr>
      <w:tr w:rsidR="005F6F96" w:rsidRPr="005F6F96" w14:paraId="268B2566" w14:textId="77777777" w:rsidTr="005F6F96">
        <w:trPr>
          <w:jc w:val="center"/>
        </w:trPr>
        <w:tc>
          <w:tcPr>
            <w:tcW w:w="1838" w:type="dxa"/>
          </w:tcPr>
          <w:p w14:paraId="6B85AD05" w14:textId="7E561C98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变更与处置</w:t>
            </w:r>
          </w:p>
        </w:tc>
        <w:tc>
          <w:tcPr>
            <w:tcW w:w="6882" w:type="dxa"/>
          </w:tcPr>
          <w:p w14:paraId="024B871D" w14:textId="4893FCF0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变更原因、影响分析、验证结果、上线范围、用户告知、回滚方案、异常记录。</w:t>
            </w:r>
          </w:p>
        </w:tc>
      </w:tr>
    </w:tbl>
    <w:p w14:paraId="169CE83F" w14:textId="3E3AB2B6" w:rsidR="00A23DE6" w:rsidRDefault="00A23DE6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三、</w:t>
      </w:r>
      <w:r w:rsidR="00792A69" w:rsidRPr="00792A69">
        <w:rPr>
          <w:rFonts w:ascii="Times New Roman" w:eastAsia="黑体" w:hAnsi="Times New Roman" w:cs="Times New Roman"/>
          <w:color w:val="000000"/>
          <w:sz w:val="32"/>
          <w:szCs w:val="32"/>
        </w:rPr>
        <w:t>变更影响分析表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408"/>
        <w:gridCol w:w="2907"/>
      </w:tblGrid>
      <w:tr w:rsidR="00792A69" w:rsidRPr="0078703A" w14:paraId="50E316D3" w14:textId="77777777" w:rsidTr="0078703A">
        <w:trPr>
          <w:jc w:val="center"/>
        </w:trPr>
        <w:tc>
          <w:tcPr>
            <w:tcW w:w="2405" w:type="dxa"/>
          </w:tcPr>
          <w:p w14:paraId="2DFA678C" w14:textId="5DAD7000" w:rsidR="00792A69" w:rsidRPr="0078703A" w:rsidRDefault="00792A69" w:rsidP="0078703A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分析项</w:t>
            </w:r>
          </w:p>
        </w:tc>
        <w:tc>
          <w:tcPr>
            <w:tcW w:w="3408" w:type="dxa"/>
          </w:tcPr>
          <w:p w14:paraId="7A6342D8" w14:textId="61AEAB1B" w:rsidR="00792A69" w:rsidRPr="0078703A" w:rsidRDefault="00792A69" w:rsidP="0078703A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核查问题</w:t>
            </w:r>
          </w:p>
        </w:tc>
        <w:tc>
          <w:tcPr>
            <w:tcW w:w="2907" w:type="dxa"/>
          </w:tcPr>
          <w:p w14:paraId="4D084244" w14:textId="04E7155C" w:rsidR="00792A69" w:rsidRPr="0078703A" w:rsidRDefault="00792A69" w:rsidP="0078703A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结论记录</w:t>
            </w:r>
          </w:p>
        </w:tc>
      </w:tr>
      <w:tr w:rsidR="00792A69" w:rsidRPr="0078703A" w14:paraId="30AC3737" w14:textId="77777777" w:rsidTr="0078703A">
        <w:trPr>
          <w:jc w:val="center"/>
        </w:trPr>
        <w:tc>
          <w:tcPr>
            <w:tcW w:w="2405" w:type="dxa"/>
          </w:tcPr>
          <w:p w14:paraId="32EF7A9D" w14:textId="302B2923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预期用途与适用范围</w:t>
            </w:r>
          </w:p>
        </w:tc>
        <w:tc>
          <w:tcPr>
            <w:tcW w:w="3408" w:type="dxa"/>
          </w:tcPr>
          <w:p w14:paraId="283FAA56" w14:textId="02D5FED5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是否改变目标疾病、目标人群、目标用户、临床任务、输入或输出性质？</w:t>
            </w:r>
          </w:p>
        </w:tc>
        <w:tc>
          <w:tcPr>
            <w:tcW w:w="2907" w:type="dxa"/>
          </w:tcPr>
          <w:p w14:paraId="2D765BCB" w14:textId="60A5C062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未改变/可能改变/已改变；说明依据。</w:t>
            </w:r>
          </w:p>
        </w:tc>
      </w:tr>
      <w:tr w:rsidR="00792A69" w:rsidRPr="0078703A" w14:paraId="7A83EE82" w14:textId="77777777" w:rsidTr="0078703A">
        <w:trPr>
          <w:jc w:val="center"/>
        </w:trPr>
        <w:tc>
          <w:tcPr>
            <w:tcW w:w="2405" w:type="dxa"/>
          </w:tcPr>
          <w:p w14:paraId="59CF02DC" w14:textId="51A97F82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关键性能与失效模式</w:t>
            </w:r>
          </w:p>
        </w:tc>
        <w:tc>
          <w:tcPr>
            <w:tcW w:w="3408" w:type="dxa"/>
          </w:tcPr>
          <w:p w14:paraId="75AD8F81" w14:textId="6E8D89D2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是否可能影响医学事实一致性、病种级性能、拒答、异常输入处理、已知失效模式或风险</w:t>
            </w:r>
            <w:r w:rsidRPr="0078703A">
              <w:rPr>
                <w:rFonts w:ascii="仿宋_GB2312" w:eastAsia="仿宋_GB2312" w:hint="eastAsia"/>
                <w:sz w:val="24"/>
                <w:szCs w:val="28"/>
              </w:rPr>
              <w:lastRenderedPageBreak/>
              <w:t>收益？</w:t>
            </w:r>
          </w:p>
        </w:tc>
        <w:tc>
          <w:tcPr>
            <w:tcW w:w="2907" w:type="dxa"/>
          </w:tcPr>
          <w:p w14:paraId="1E67430C" w14:textId="46ED3733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lastRenderedPageBreak/>
              <w:t>影响程度、拟验证指标和接受标准。</w:t>
            </w:r>
          </w:p>
        </w:tc>
      </w:tr>
      <w:tr w:rsidR="00792A69" w:rsidRPr="0078703A" w14:paraId="123D79F2" w14:textId="77777777" w:rsidTr="0078703A">
        <w:trPr>
          <w:jc w:val="center"/>
        </w:trPr>
        <w:tc>
          <w:tcPr>
            <w:tcW w:w="2405" w:type="dxa"/>
          </w:tcPr>
          <w:p w14:paraId="3261F88C" w14:textId="156B6763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数据与模型依赖</w:t>
            </w:r>
          </w:p>
        </w:tc>
        <w:tc>
          <w:tcPr>
            <w:tcW w:w="3408" w:type="dxa"/>
          </w:tcPr>
          <w:p w14:paraId="7388EE7E" w14:textId="5469FBDC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是否替换基础模型、改变训练或微调数据、参数、知识库、提示词、外部工具或接口？</w:t>
            </w:r>
          </w:p>
        </w:tc>
        <w:tc>
          <w:tcPr>
            <w:tcW w:w="2907" w:type="dxa"/>
          </w:tcPr>
          <w:p w14:paraId="67325D98" w14:textId="00EFF7EC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涉及组件、版本差异、可追溯资料。</w:t>
            </w:r>
          </w:p>
        </w:tc>
      </w:tr>
      <w:tr w:rsidR="00792A69" w:rsidRPr="0078703A" w14:paraId="68B6482B" w14:textId="77777777" w:rsidTr="0078703A">
        <w:trPr>
          <w:jc w:val="center"/>
        </w:trPr>
        <w:tc>
          <w:tcPr>
            <w:tcW w:w="2405" w:type="dxa"/>
          </w:tcPr>
          <w:p w14:paraId="5B7BF7B4" w14:textId="1106D9C6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部署与临床工作流</w:t>
            </w:r>
          </w:p>
        </w:tc>
        <w:tc>
          <w:tcPr>
            <w:tcW w:w="3408" w:type="dxa"/>
          </w:tcPr>
          <w:p w14:paraId="3DDA9679" w14:textId="4EDD4DE2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是否改变设备兼容性、接口映射、权限、使用流程、人工复核或故障切换？</w:t>
            </w:r>
          </w:p>
        </w:tc>
        <w:tc>
          <w:tcPr>
            <w:tcW w:w="2907" w:type="dxa"/>
          </w:tcPr>
          <w:p w14:paraId="05CB70E2" w14:textId="1B01AAFD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本地验证和用户告知要求。</w:t>
            </w:r>
          </w:p>
        </w:tc>
      </w:tr>
      <w:tr w:rsidR="00792A69" w:rsidRPr="0078703A" w14:paraId="154C6D00" w14:textId="77777777" w:rsidTr="0078703A">
        <w:trPr>
          <w:jc w:val="center"/>
        </w:trPr>
        <w:tc>
          <w:tcPr>
            <w:tcW w:w="2405" w:type="dxa"/>
          </w:tcPr>
          <w:p w14:paraId="33FB910F" w14:textId="2A095978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风险控制</w:t>
            </w:r>
          </w:p>
        </w:tc>
        <w:tc>
          <w:tcPr>
            <w:tcW w:w="3408" w:type="dxa"/>
          </w:tcPr>
          <w:p w14:paraId="54F8B474" w14:textId="43BA14DB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是否需要补充性能评价、临床评价、限制使用、回滚、暂停功能或报告？</w:t>
            </w:r>
          </w:p>
        </w:tc>
        <w:tc>
          <w:tcPr>
            <w:tcW w:w="2907" w:type="dxa"/>
          </w:tcPr>
          <w:p w14:paraId="642FB555" w14:textId="54BEDB3E" w:rsidR="00792A69" w:rsidRPr="0078703A" w:rsidRDefault="00792A69" w:rsidP="0078703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78703A">
              <w:rPr>
                <w:rFonts w:ascii="仿宋_GB2312" w:eastAsia="仿宋_GB2312" w:hint="eastAsia"/>
                <w:sz w:val="24"/>
                <w:szCs w:val="28"/>
              </w:rPr>
              <w:t>控制措施、责任人、完成时限。</w:t>
            </w:r>
          </w:p>
        </w:tc>
      </w:tr>
    </w:tbl>
    <w:p w14:paraId="0FB61BBA" w14:textId="0FEC3547" w:rsidR="00320499" w:rsidRPr="00320499" w:rsidRDefault="00320499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32049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四、</w:t>
      </w:r>
      <w:r w:rsidR="005F6F96" w:rsidRPr="005F6F96">
        <w:rPr>
          <w:rFonts w:ascii="Times New Roman" w:eastAsia="黑体" w:hAnsi="Times New Roman" w:cs="Times New Roman"/>
          <w:color w:val="000000"/>
          <w:sz w:val="32"/>
          <w:szCs w:val="32"/>
        </w:rPr>
        <w:t>建议的变更分级与控制要求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828"/>
        <w:gridCol w:w="3196"/>
      </w:tblGrid>
      <w:tr w:rsidR="005F6F96" w:rsidRPr="005F6F96" w14:paraId="780D8D47" w14:textId="77777777" w:rsidTr="005F6F96">
        <w:trPr>
          <w:jc w:val="center"/>
        </w:trPr>
        <w:tc>
          <w:tcPr>
            <w:tcW w:w="1696" w:type="dxa"/>
          </w:tcPr>
          <w:p w14:paraId="3CDB0C8E" w14:textId="5A98A5AF" w:rsidR="005F6F96" w:rsidRPr="005F6F96" w:rsidRDefault="005F6F96" w:rsidP="005F6F9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级别</w:t>
            </w:r>
          </w:p>
        </w:tc>
        <w:tc>
          <w:tcPr>
            <w:tcW w:w="3828" w:type="dxa"/>
          </w:tcPr>
          <w:p w14:paraId="3A7D7602" w14:textId="2D18FFFE" w:rsidR="005F6F96" w:rsidRPr="005F6F96" w:rsidRDefault="005F6F96" w:rsidP="005F6F9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判定参考</w:t>
            </w:r>
          </w:p>
        </w:tc>
        <w:tc>
          <w:tcPr>
            <w:tcW w:w="3196" w:type="dxa"/>
          </w:tcPr>
          <w:p w14:paraId="7A24FD12" w14:textId="33218FD0" w:rsidR="005F6F96" w:rsidRPr="005F6F96" w:rsidRDefault="005F6F96" w:rsidP="005F6F9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建议控制要求</w:t>
            </w:r>
          </w:p>
        </w:tc>
      </w:tr>
      <w:tr w:rsidR="005F6F96" w:rsidRPr="005F6F96" w14:paraId="397692E5" w14:textId="77777777" w:rsidTr="005F6F96">
        <w:trPr>
          <w:jc w:val="center"/>
        </w:trPr>
        <w:tc>
          <w:tcPr>
            <w:tcW w:w="1696" w:type="dxa"/>
          </w:tcPr>
          <w:p w14:paraId="3AF1D2CE" w14:textId="2996DE8E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维护性或质量体系内控制</w:t>
            </w:r>
          </w:p>
        </w:tc>
        <w:tc>
          <w:tcPr>
            <w:tcW w:w="3828" w:type="dxa"/>
          </w:tcPr>
          <w:p w14:paraId="6A3105F8" w14:textId="1BE4A5B6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不改变预期用途、适用范围和关键性能边界的修复性或优化性变化。</w:t>
            </w:r>
          </w:p>
        </w:tc>
        <w:tc>
          <w:tcPr>
            <w:tcW w:w="3196" w:type="dxa"/>
          </w:tcPr>
          <w:p w14:paraId="75BEF2D4" w14:textId="2DB5EC78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完整留存影响分析和验证记录；按质量体系程序实施。</w:t>
            </w:r>
          </w:p>
        </w:tc>
      </w:tr>
      <w:tr w:rsidR="005F6F96" w:rsidRPr="005F6F96" w14:paraId="47873224" w14:textId="77777777" w:rsidTr="005F6F96">
        <w:trPr>
          <w:jc w:val="center"/>
        </w:trPr>
        <w:tc>
          <w:tcPr>
            <w:tcW w:w="1696" w:type="dxa"/>
          </w:tcPr>
          <w:p w14:paraId="14EE39FB" w14:textId="373D77A9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受控变更</w:t>
            </w:r>
          </w:p>
        </w:tc>
        <w:tc>
          <w:tcPr>
            <w:tcW w:w="3828" w:type="dxa"/>
          </w:tcPr>
          <w:p w14:paraId="1232FD0C" w14:textId="4C244D7C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可能影响产品表现但基本架构、预期用途和风险等级未发生实质改变的变化。</w:t>
            </w:r>
          </w:p>
        </w:tc>
        <w:tc>
          <w:tcPr>
            <w:tcW w:w="3196" w:type="dxa"/>
          </w:tcPr>
          <w:p w14:paraId="492264F0" w14:textId="27BD65A4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开展针对性性能对比、必要的本地或临床补充验证；明确上线范围、告知和监测安排。</w:t>
            </w:r>
          </w:p>
        </w:tc>
      </w:tr>
      <w:tr w:rsidR="005F6F96" w:rsidRPr="005F6F96" w14:paraId="39E293FD" w14:textId="77777777" w:rsidTr="005F6F96">
        <w:trPr>
          <w:jc w:val="center"/>
        </w:trPr>
        <w:tc>
          <w:tcPr>
            <w:tcW w:w="1696" w:type="dxa"/>
          </w:tcPr>
          <w:p w14:paraId="289B5896" w14:textId="27F10505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重大变更</w:t>
            </w:r>
          </w:p>
        </w:tc>
        <w:tc>
          <w:tcPr>
            <w:tcW w:w="3828" w:type="dxa"/>
          </w:tcPr>
          <w:p w14:paraId="6AA22D3C" w14:textId="645A4C62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替换基础模型、改变关键输入输出逻辑、扩大高风险适应证或病种范围、关键性能下降等。</w:t>
            </w:r>
          </w:p>
        </w:tc>
        <w:tc>
          <w:tcPr>
            <w:tcW w:w="3196" w:type="dxa"/>
          </w:tcPr>
          <w:p w14:paraId="6AAE4038" w14:textId="773134F3" w:rsidR="005F6F96" w:rsidRPr="005F6F96" w:rsidRDefault="005F6F96" w:rsidP="005F6F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5F6F96">
              <w:rPr>
                <w:rFonts w:ascii="仿宋_GB2312" w:eastAsia="仿宋_GB2312" w:hint="eastAsia"/>
                <w:sz w:val="24"/>
                <w:szCs w:val="28"/>
              </w:rPr>
              <w:t>开展充分再评价；必要时按相关注册变更路径处理。</w:t>
            </w:r>
          </w:p>
        </w:tc>
      </w:tr>
    </w:tbl>
    <w:p w14:paraId="4D943399" w14:textId="5A9923A3" w:rsidR="00320499" w:rsidRPr="00320499" w:rsidRDefault="00320499" w:rsidP="005F6F96">
      <w:pPr>
        <w:adjustRightInd w:val="0"/>
        <w:snapToGrid w:val="0"/>
        <w:spacing w:line="52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14:paraId="498C4368" w14:textId="6EB89F1D" w:rsidR="00320499" w:rsidRPr="00320499" w:rsidRDefault="00320499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32049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五、</w:t>
      </w:r>
      <w:r w:rsidR="005F6F96" w:rsidRPr="005F6F96">
        <w:rPr>
          <w:rFonts w:ascii="Times New Roman" w:eastAsia="黑体" w:hAnsi="Times New Roman" w:cs="Times New Roman"/>
          <w:color w:val="000000"/>
          <w:sz w:val="32"/>
          <w:szCs w:val="32"/>
        </w:rPr>
        <w:t>预设变更控制计划模板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6173"/>
      </w:tblGrid>
      <w:tr w:rsidR="00B23096" w:rsidRPr="00B23096" w14:paraId="6EAE3344" w14:textId="77777777" w:rsidTr="00B23096">
        <w:trPr>
          <w:jc w:val="center"/>
        </w:trPr>
        <w:tc>
          <w:tcPr>
            <w:tcW w:w="2547" w:type="dxa"/>
          </w:tcPr>
          <w:p w14:paraId="2A862B30" w14:textId="2A03EBC4" w:rsidR="00B23096" w:rsidRPr="00B23096" w:rsidRDefault="00B23096" w:rsidP="00B2309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要素</w:t>
            </w:r>
          </w:p>
        </w:tc>
        <w:tc>
          <w:tcPr>
            <w:tcW w:w="6173" w:type="dxa"/>
          </w:tcPr>
          <w:p w14:paraId="78339A2A" w14:textId="737885FB" w:rsidR="00B23096" w:rsidRPr="00B23096" w:rsidRDefault="00B23096" w:rsidP="00B2309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填写要点</w:t>
            </w:r>
          </w:p>
        </w:tc>
      </w:tr>
      <w:tr w:rsidR="00B23096" w:rsidRPr="00B23096" w14:paraId="7D994D16" w14:textId="77777777" w:rsidTr="00B23096">
        <w:trPr>
          <w:jc w:val="center"/>
        </w:trPr>
        <w:tc>
          <w:tcPr>
            <w:tcW w:w="2547" w:type="dxa"/>
          </w:tcPr>
          <w:p w14:paraId="2BF1BB34" w14:textId="71B8EED5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计划内变更项目</w:t>
            </w:r>
          </w:p>
        </w:tc>
        <w:tc>
          <w:tcPr>
            <w:tcW w:w="6173" w:type="dxa"/>
          </w:tcPr>
          <w:p w14:paraId="73A78B56" w14:textId="5EAF5CEF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明确允许变化的组件、变化范围及不纳入计划的事项。</w:t>
            </w:r>
          </w:p>
        </w:tc>
      </w:tr>
      <w:tr w:rsidR="00B23096" w:rsidRPr="00B23096" w14:paraId="4BA5A1C4" w14:textId="77777777" w:rsidTr="00B23096">
        <w:trPr>
          <w:jc w:val="center"/>
        </w:trPr>
        <w:tc>
          <w:tcPr>
            <w:tcW w:w="2547" w:type="dxa"/>
          </w:tcPr>
          <w:p w14:paraId="7D2F4617" w14:textId="088D2AE6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适用边界</w:t>
            </w:r>
          </w:p>
        </w:tc>
        <w:tc>
          <w:tcPr>
            <w:tcW w:w="6173" w:type="dxa"/>
          </w:tcPr>
          <w:p w14:paraId="19A0DF5D" w14:textId="2AB36683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限定预期用途、病种、目标用户、输入条件、部署范围和风险等级。</w:t>
            </w:r>
          </w:p>
        </w:tc>
      </w:tr>
      <w:tr w:rsidR="00B23096" w:rsidRPr="00B23096" w14:paraId="21A406BF" w14:textId="77777777" w:rsidTr="00B23096">
        <w:trPr>
          <w:jc w:val="center"/>
        </w:trPr>
        <w:tc>
          <w:tcPr>
            <w:tcW w:w="2547" w:type="dxa"/>
          </w:tcPr>
          <w:p w14:paraId="2C3BB1C6" w14:textId="3F7088D4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接受标准与验证方法</w:t>
            </w:r>
          </w:p>
        </w:tc>
        <w:tc>
          <w:tcPr>
            <w:tcW w:w="6173" w:type="dxa"/>
          </w:tcPr>
          <w:p w14:paraId="091FBD0B" w14:textId="5B3E13AB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列明性能、鲁棒性、版本一致性、临床或本地验证指标、样本和统计方法。</w:t>
            </w:r>
          </w:p>
        </w:tc>
      </w:tr>
      <w:tr w:rsidR="00B23096" w:rsidRPr="00B23096" w14:paraId="1208AB86" w14:textId="77777777" w:rsidTr="00B23096">
        <w:trPr>
          <w:jc w:val="center"/>
        </w:trPr>
        <w:tc>
          <w:tcPr>
            <w:tcW w:w="2547" w:type="dxa"/>
          </w:tcPr>
          <w:p w14:paraId="2CA38642" w14:textId="77855B1D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风险控制与回滚</w:t>
            </w:r>
          </w:p>
        </w:tc>
        <w:tc>
          <w:tcPr>
            <w:tcW w:w="6173" w:type="dxa"/>
          </w:tcPr>
          <w:p w14:paraId="186266A6" w14:textId="52055920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列明异常触发条件、暂停或限用条件、回滚版本、人工接管和恢复验证要求。</w:t>
            </w:r>
          </w:p>
        </w:tc>
      </w:tr>
      <w:tr w:rsidR="00B23096" w:rsidRPr="00B23096" w14:paraId="53555EF1" w14:textId="77777777" w:rsidTr="00B23096">
        <w:trPr>
          <w:jc w:val="center"/>
        </w:trPr>
        <w:tc>
          <w:tcPr>
            <w:tcW w:w="2547" w:type="dxa"/>
          </w:tcPr>
          <w:p w14:paraId="71A8F683" w14:textId="3239088D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用户告知与监测</w:t>
            </w:r>
          </w:p>
        </w:tc>
        <w:tc>
          <w:tcPr>
            <w:tcW w:w="6173" w:type="dxa"/>
          </w:tcPr>
          <w:p w14:paraId="7A0600B0" w14:textId="5109E097" w:rsidR="00B23096" w:rsidRPr="00B23096" w:rsidRDefault="00B23096" w:rsidP="00B2309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B23096">
              <w:rPr>
                <w:rFonts w:ascii="仿宋_GB2312" w:eastAsia="仿宋_GB2312" w:hint="eastAsia"/>
                <w:sz w:val="24"/>
                <w:szCs w:val="28"/>
              </w:rPr>
              <w:t>明确受影响用户、告知方式、上线后监测项目、频率、责任人和报告安排。</w:t>
            </w:r>
          </w:p>
        </w:tc>
      </w:tr>
    </w:tbl>
    <w:p w14:paraId="7EBF0CA0" w14:textId="688BE116" w:rsidR="00320499" w:rsidRPr="00320499" w:rsidRDefault="005F6F96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color w:val="000000"/>
          <w:sz w:val="32"/>
          <w:szCs w:val="32"/>
        </w:rPr>
        <w:t>六</w:t>
      </w:r>
      <w:r w:rsidR="00320499" w:rsidRPr="0032049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、</w:t>
      </w:r>
      <w:r w:rsidR="00B23096" w:rsidRPr="00B23096">
        <w:rPr>
          <w:rFonts w:ascii="Times New Roman" w:eastAsia="黑体" w:hAnsi="Times New Roman" w:cs="Times New Roman"/>
          <w:color w:val="000000"/>
          <w:sz w:val="32"/>
          <w:szCs w:val="32"/>
        </w:rPr>
        <w:t>使用说明</w:t>
      </w:r>
    </w:p>
    <w:p w14:paraId="5E62CA18" w14:textId="77777777" w:rsidR="00B23096" w:rsidRDefault="00B23096" w:rsidP="00320499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B23096">
        <w:rPr>
          <w:rFonts w:ascii="Times New Roman" w:eastAsia="仿宋_GB2312" w:hAnsi="Times New Roman" w:cs="Times New Roman"/>
          <w:color w:val="000000"/>
          <w:sz w:val="32"/>
          <w:szCs w:val="32"/>
        </w:rPr>
        <w:t>本附件中的分级和计划模板用于形成可审查、可复核的材料基础。是否需要注册变更、补充临床评价或向监管部门报告，应依据产品实际变化、风险影响及适用法律法规判断。</w:t>
      </w:r>
    </w:p>
    <w:sectPr w:rsidR="00B23096" w:rsidSect="00A23DE6">
      <w:footerReference w:type="even" r:id="rId6"/>
      <w:footerReference w:type="default" r:id="rId7"/>
      <w:pgSz w:w="11906" w:h="16838"/>
      <w:pgMar w:top="1440" w:right="1588" w:bottom="1440" w:left="1588" w:header="851" w:footer="992" w:gutter="0"/>
      <w:pgNumType w:start="3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3CADB" w14:textId="77777777" w:rsidR="00776202" w:rsidRDefault="00776202" w:rsidP="00A23DE6">
      <w:pPr>
        <w:rPr>
          <w:rFonts w:hint="eastAsia"/>
        </w:rPr>
      </w:pPr>
      <w:r>
        <w:separator/>
      </w:r>
    </w:p>
  </w:endnote>
  <w:endnote w:type="continuationSeparator" w:id="0">
    <w:p w14:paraId="1B3787FA" w14:textId="77777777" w:rsidR="00776202" w:rsidRDefault="00776202" w:rsidP="00A23D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676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028E0A4" w14:textId="77777777" w:rsidR="00A23DE6" w:rsidRPr="00561663" w:rsidRDefault="00A23DE6" w:rsidP="00561663">
        <w:pPr>
          <w:pStyle w:val="af0"/>
          <w:rPr>
            <w:rFonts w:hint="eastAsia"/>
          </w:rPr>
        </w:pPr>
        <w:r w:rsidRPr="00561663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16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61663">
          <w:rPr>
            <w:rFonts w:ascii="Times New Roman" w:hAnsi="Times New Roman" w:cs="Times New Roman"/>
            <w:noProof/>
            <w:sz w:val="28"/>
            <w:szCs w:val="28"/>
            <w:lang w:val="zh-CN"/>
          </w:rPr>
          <w:t>38</w: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61663">
          <w:rPr>
            <w:rFonts w:ascii="Times New Roman" w:hAnsi="Times New Roman" w:cs="Times New Roman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A1011" w14:textId="77777777" w:rsidR="00A23DE6" w:rsidRDefault="00000000" w:rsidP="00561663">
    <w:pPr>
      <w:pStyle w:val="af0"/>
      <w:jc w:val="right"/>
      <w:rPr>
        <w:rFonts w:hint="eastAsia"/>
      </w:rPr>
    </w:pPr>
    <w:sdt>
      <w:sdtPr>
        <w:id w:val="-67765552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A23DE6" w:rsidRPr="00561663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DE6" w:rsidRPr="00561663">
          <w:rPr>
            <w:rFonts w:ascii="Times New Roman" w:hAnsi="Times New Roman" w:cs="Times New Roman"/>
            <w:noProof/>
            <w:sz w:val="28"/>
            <w:szCs w:val="28"/>
            <w:lang w:val="zh-CN"/>
          </w:rPr>
          <w:t>39</w: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 w:rsidR="00A23DE6" w:rsidRPr="00561663">
      <w:rPr>
        <w:rFonts w:ascii="Times New Roman" w:hAnsi="Times New Roman" w:cs="Times New Roman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9DDE3" w14:textId="77777777" w:rsidR="00776202" w:rsidRDefault="00776202" w:rsidP="00A23DE6">
      <w:pPr>
        <w:rPr>
          <w:rFonts w:hint="eastAsia"/>
        </w:rPr>
      </w:pPr>
      <w:r>
        <w:separator/>
      </w:r>
    </w:p>
  </w:footnote>
  <w:footnote w:type="continuationSeparator" w:id="0">
    <w:p w14:paraId="7523993C" w14:textId="77777777" w:rsidR="00776202" w:rsidRDefault="00776202" w:rsidP="00A23DE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7B"/>
    <w:rsid w:val="002E61E5"/>
    <w:rsid w:val="00320499"/>
    <w:rsid w:val="004557E2"/>
    <w:rsid w:val="004E6461"/>
    <w:rsid w:val="00514399"/>
    <w:rsid w:val="005F6F96"/>
    <w:rsid w:val="0070097B"/>
    <w:rsid w:val="00776202"/>
    <w:rsid w:val="0078703A"/>
    <w:rsid w:val="00792A69"/>
    <w:rsid w:val="00796939"/>
    <w:rsid w:val="00803BB6"/>
    <w:rsid w:val="00832449"/>
    <w:rsid w:val="00A23DE6"/>
    <w:rsid w:val="00B23096"/>
    <w:rsid w:val="00D54190"/>
    <w:rsid w:val="00EB61BB"/>
    <w:rsid w:val="00F77AC8"/>
    <w:rsid w:val="00F8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C8137"/>
  <w15:chartTrackingRefBased/>
  <w15:docId w15:val="{6787C221-DFF7-4BF6-BD0B-4FFD3733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399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097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97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97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97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97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97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97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97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0097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009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009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0097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0097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0097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0097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0097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0097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0097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00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097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009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00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009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0097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0097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009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0097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0097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3D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3DE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rsid w:val="00A23DE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sid w:val="00A23DE6"/>
    <w:rPr>
      <w:sz w:val="18"/>
      <w:szCs w:val="18"/>
    </w:rPr>
  </w:style>
  <w:style w:type="paragraph" w:styleId="af2">
    <w:name w:val="Normal (Web)"/>
    <w:basedOn w:val="a"/>
    <w:uiPriority w:val="99"/>
    <w:unhideWhenUsed/>
    <w:qFormat/>
    <w:rsid w:val="00A23DE6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f3">
    <w:name w:val="Table Grid"/>
    <w:basedOn w:val="a1"/>
    <w:uiPriority w:val="39"/>
    <w:rsid w:val="00320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670</Words>
  <Characters>670</Characters>
  <Application>Microsoft Office Word</Application>
  <DocSecurity>0</DocSecurity>
  <Lines>60</Lines>
  <Paragraphs>66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 任</dc:creator>
  <cp:keywords/>
  <dc:description/>
  <cp:lastModifiedBy>微 任</cp:lastModifiedBy>
  <cp:revision>5</cp:revision>
  <dcterms:created xsi:type="dcterms:W3CDTF">2026-08-27T02:02:00Z</dcterms:created>
  <dcterms:modified xsi:type="dcterms:W3CDTF">2026-08-27T09:57:00Z</dcterms:modified>
</cp:coreProperties>
</file>